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21 vom 18. Juli 2025</w:t>
      </w:r>
    </w:p>
    <w:p>
      <w:r>
        <w:t>VS Kantonsgericht, 2025-07-18, FR</w:t>
      </w:r>
    </w:p>
    <w:p>
      <w:r>
        <w:rPr>
          <w:b/>
        </w:rPr>
        <w:t xml:space="preserve">Quelle: </w:t>
      </w:r>
      <w:r>
        <w:t>https://mcp.opencaselaw.ch/entscheid/vs_gerichte_C1 23 21</w:t>
      </w:r>
    </w:p>
    <w:p>
      <w:r>
        <w:t>FR: VS_GERICHTE C1 23 21 du 18 juillet 2025</w:t>
      </w:r>
    </w:p>
    <w:p>
      <w:r>
        <w:t>IT: VS_GERICHTE C1 23 21 del 18 luglio 2025</w:t>
      </w:r>
    </w:p>
    <w:p>
      <w:pPr>
        <w:pStyle w:val="Heading2"/>
      </w:pPr>
      <w:r>
        <w:t>Regeste</w:t>
      </w:r>
    </w:p>
    <w:p>
      <w:r>
        <w:t>C1 23 21 ARRÊT DU 18 JUILLET 2025 Cour civile II Composition : Christian Zuber, président ; Bertrand Dayer et Béatrice Neyroud, juges ; Yves Burnier, greffier en la cause X _________, demanderesse et appelante, représentée par Maître Luis Neves, avocat à Martigny contre Y _________, institut de droit public de siège à A _________, défendeur et appelé, représenté par Maître Sandra Genier, avocate à Montreux (contrat de travail ; résiliation en temps inopportun [art. 336c al. 1 let. b CO]) appel contre le jugement du juge II du district de Sion du 7 décembre 2022 (SIO C1 20 36)</w:t>
      </w:r>
    </w:p>
    <w:p>
      <w:pPr>
        <w:pStyle w:val="Heading2"/>
      </w:pPr>
      <w:r>
        <w:t>Erwägungen</w:t>
      </w:r>
    </w:p>
    <w:p>
      <w:r>
        <w:rPr>
          <w:b/>
        </w:rPr>
        <w:t>E. 12.1</w:t>
      </w:r>
    </w:p>
    <w:p>
      <w:r>
        <w:t>L'art. 336c al. 1 CO énonce, à ses lettres a à d, divers motifs empêchant l'employeur, après le temps d'essai, de résilier le contrat de travail pendant une certaine période (service obligatoire militaire ou dans la protection civile, service civil, grossesse, service d'aide à l'étranger ordonné par l'autorité fédérale, notamment). Selon la lettre b, le congé ne peut être donné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L'alinéa 2 de cette disposition précise que le congé donné pendant une de ces périodes est nul (arrêt 4A_706/2016 précité consid. 2.1). Les éventualités prévues par les différentes lettres de l'art. 336c al. 1 CO font chacune courir une période de protection indépendante l'une de l'autre. Il peut y avoir chevauchement et cumul entre les différentes situations (cumul « interlittéral »). Selon la jurisprudence, il peut aussi y avoir chevauchement et cumul entre différentes situations ressortissant à la même lettre de l'art. 336c CO, comme des maladies et/ou des accidents n'ayant aucun lien entre eux (cumul « intralittéral »). En revanche, une nouvelle incapacité de travail ne fait pas courir un nouveau délai lorsqu'elle est due à la même cause médicale que la précédente, comme une rechute d'une affection précédente (arrêt 8C_826/2015 du 21 septembre 2016 consid. 3.3.1 et les réf. citées). Au contraire, lorsqu'un employé est incapable de travailler en raison de maladies ou d'accidents successifs n'ayant aucun lien entre eux, chaque nouvelle maladie ou chaque nouvel accident fait courir un nouveau délai légal de protection durant lequel l'employeur ne peut valablement résilier le contrat de travail (arrêt 4A_117/2007-4A_127/2007 précité consid. 5 et la réf. citée).</w:t>
      </w:r>
    </w:p>
    <w:p>
      <w:r>
        <w:rPr>
          <w:b/>
        </w:rPr>
        <w:t>E. 12.2</w:t>
      </w:r>
    </w:p>
    <w:p>
      <w:r>
        <w:t>Dès lors que les différentes incapacités de travail de la demanderesse étaient « liées entre elles, faute d’éléments infirmant ce propos », le premier juge a considéré que « les différentes périodes d’arrêt de travail [n’étaient] pas propres à faire naître un nouveau délai de protection ». L’intéressée ayant bien plus de cinq années de service lors de son licenciement, elle bénéficiait d’une période de protection de 180 jours. Celle- ci devait être calculée à partir du 29 mars 2018. Cela étant, entre le 29 mars 2018 et le 9 juillet 2018, 103 jours s’étaient écoulés. La demanderesse avait à nouveau subi une incapacité de travail du 14 au 17 août 2018, soit pendant quatre jours, puis du 10 octobre au 15 novembre 2018, soit durant 37 jours. Dès lors, « à l’aube de sa dernière incapacité,</w:t>
      </w:r>
    </w:p>
    <w:p>
      <w:r>
        <w:t>- 19 - [elle] avait déjà consommé 144 jours de protection au total » (103 j. + 4 j. + 37 j.), « de sorte qu’il ne lui en restait plus que 36 » (180 j. - 144 j.). Le congé avait été signifié le 19 novembre 2018 pour le 28 février 2019. « En calculant à rebours, le délai de résiliation (délai de congé rétrospectif) couvr[ait] la période comprise entre le 1er décembre 2018 et le 28 février 2019 ». Toujours selon le juge de district, « l’incapacité de travail survenue avant le délai de résiliation, soit du 20 au 30 novembre 2018, ne suspend[ait] pas le délai de résiliation, mais le crédit de protection de 11 jours y afférent [devait] être comptabilisé. Ainsi, au 1er décembre 2018, soit au début de son délai de résiliation, la demanderesse ne bénéficiait plus que de 25 jours de protection (36-11). L’incapacité de travail survenue entre le 1er décembre 2018 et le 28 février 2019 [avait] pour conséquence de suspendre le délai de résiliation et de le prolonger de la durée correspondant à cette incapacité. Dans la mesure toutefois où le crédit en jour de protection de l’employée [avait] été consommé à hauteur de 154 jours de protection (144 pour les incapacités précédentes cf. supra + 11), seuls les 25 jours restants [devaient] être ajoutés à la résiliation. ». Le délai de congé était ainsi prolongé au 26 mars 2019 et reporté au 31 mars 2019 en vertu de l’art. 336c al. 3 CO. Il s’ensuivait le rejet de la conclusion de la demanderesse tendant au paiement de la somme brut de 17'463 fr. à titre de salaire dû jusqu’au 31 août 2019, de même que celle portant sur le paiement du montant brut de 2328 fr. à titre de 13e salaire, « dans la mesure où les rapports de travail [avaient] valablement pris fin le 31 mars 2019 et que le paiement de la part au 13ème salaire jusqu’à cette période n’[avait] pas été contesté ».</w:t>
      </w:r>
    </w:p>
    <w:p>
      <w:r>
        <w:rPr>
          <w:b/>
        </w:rPr>
        <w:t>E. 12.3</w:t>
      </w:r>
    </w:p>
    <w:p>
      <w:r>
        <w:t>Pour le surplus, l’appelante ne conteste ni l’irrecevabilité de sa conclusion visant le constat du caractère abusif de son licenciement (jugement entrepris consid. 1.2.4), ni le rejet de ses conclusions en paiement du montant de 826 fr. 75 « à titre d’heures supplémentaires effectuées » et de la somme de 20'956 fr. « à titre d’indemnité pour licenciement abusif », pas plus que celui de sa prétention tendant à ce que l’appelé lui délivre « un nouveau certificat de travail rectifié » (jugement attaqué consid. 12.2, 13.3 et 14.2). Il n’est donc pas nécessaire d’y revenir.</w:t>
      </w:r>
    </w:p>
    <w:p>
      <w:r>
        <w:rPr>
          <w:b/>
        </w:rPr>
        <w:t>E. 12.4</w:t>
      </w:r>
    </w:p>
    <w:p>
      <w:r>
        <w:t>Il suit de l’ensemble des développements qui précèdent que l’appel doit être rejeté.</w:t>
      </w:r>
    </w:p>
    <w:p>
      <w:r>
        <w:rPr>
          <w:b/>
        </w:rPr>
        <w:t>E. 13.1</w:t>
      </w:r>
    </w:p>
    <w:p>
      <w:r>
        <w:t>Il n’y a pas lieu de rediscuter la répartition ni la quotité - non contestée - des frais de première instance. Le jugement entrepris est donc intégralement confirmé (art. 318 al. 1 let. a CPC).</w:t>
      </w:r>
    </w:p>
    <w:p>
      <w:r>
        <w:rPr>
          <w:b/>
        </w:rPr>
        <w:t>E. 13.2</w:t>
      </w:r>
    </w:p>
    <w:p>
      <w:r>
        <w:t>Les frais de seconde instance doivent être supportés par l’appelante (art. 106 al. 1 CPC).</w:t>
      </w:r>
    </w:p>
    <w:p>
      <w:r>
        <w:rPr>
          <w:b/>
        </w:rPr>
        <w:t>E. 13.2.1</w:t>
      </w:r>
    </w:p>
    <w:p>
      <w:r>
        <w:t>Au vu de la valeur litigieuse, de l’ampleur de la cause et de son degré usuel de difficulté, ainsi que des principes de la couverture des frais et de l’équivalence des prestations (art. 13 al. 1 et 2 LTar), l’émolument forfaitaire de décision (art. 95 al. 2 let. b CPC) est arrêté à 2000 fr. (art. 16 al. 1 et 19 LTar).</w:t>
      </w:r>
    </w:p>
    <w:p>
      <w:r>
        <w:rPr>
          <w:b/>
        </w:rPr>
        <w:t>E. 13.2.2</w:t>
      </w:r>
    </w:p>
    <w:p>
      <w:r>
        <w:t>Compte tenu des mêmes critères et de l’activité utilement exercée céans par le mandataire de l’appelé, qui s’est déterminé sur l’appel par une écriture de sept pages, l’appelante lui versera 2000 fr., débours et TVA inclus, à titre de dépens de seconde instance (art. 95 al. 3 let. 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